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7971" w14:textId="601D59FD" w:rsidR="00195A48" w:rsidRPr="007600AF" w:rsidRDefault="00AC514E" w:rsidP="00116849">
      <w:pPr>
        <w:pStyle w:val="Header"/>
        <w:tabs>
          <w:tab w:val="right" w:pos="9000"/>
        </w:tabs>
        <w:rPr>
          <w:bCs/>
          <w:noProof w:val="0"/>
          <w:sz w:val="24"/>
          <w:lang w:val="en-GB" w:eastAsia="ja-JP"/>
        </w:rPr>
      </w:pPr>
      <w:r w:rsidRPr="00AC514E">
        <w:rPr>
          <w:bCs/>
          <w:noProof w:val="0"/>
          <w:sz w:val="24"/>
          <w:lang w:val="en-GB"/>
        </w:rPr>
        <w:t>3GPP TSG-RAN WG2 Meeting #105bis</w:t>
      </w:r>
      <w:r w:rsidR="00195A48" w:rsidRPr="007600AF">
        <w:rPr>
          <w:bCs/>
          <w:noProof w:val="0"/>
          <w:sz w:val="24"/>
          <w:lang w:val="en-GB"/>
        </w:rPr>
        <w:tab/>
      </w:r>
      <w:r w:rsidR="004510AC" w:rsidRPr="004510AC">
        <w:rPr>
          <w:bCs/>
          <w:noProof w:val="0"/>
          <w:color w:val="000000"/>
          <w:sz w:val="24"/>
          <w:lang w:val="en-GB" w:eastAsia="ja-JP"/>
        </w:rPr>
        <w:t xml:space="preserve"> </w:t>
      </w:r>
      <w:r w:rsidR="004510AC" w:rsidRPr="00C63832">
        <w:rPr>
          <w:bCs/>
          <w:noProof w:val="0"/>
          <w:color w:val="000000"/>
          <w:sz w:val="24"/>
          <w:lang w:val="en-GB" w:eastAsia="ja-JP"/>
        </w:rPr>
        <w:t>R2-</w:t>
      </w:r>
      <w:r w:rsidR="00935912" w:rsidRPr="00C63832">
        <w:rPr>
          <w:bCs/>
          <w:noProof w:val="0"/>
          <w:color w:val="000000"/>
          <w:sz w:val="24"/>
          <w:lang w:val="en-GB" w:eastAsia="ja-JP"/>
        </w:rPr>
        <w:t>19</w:t>
      </w:r>
      <w:r w:rsidR="009838F5">
        <w:rPr>
          <w:bCs/>
          <w:noProof w:val="0"/>
          <w:color w:val="000000"/>
          <w:sz w:val="24"/>
          <w:lang w:val="en-GB" w:eastAsia="ja-JP"/>
        </w:rPr>
        <w:t>04397</w:t>
      </w:r>
    </w:p>
    <w:p w14:paraId="6EB87972" w14:textId="61122F60" w:rsidR="00195A48" w:rsidRPr="007600AF" w:rsidRDefault="00AC514E" w:rsidP="00116849">
      <w:pPr>
        <w:pStyle w:val="Header"/>
        <w:tabs>
          <w:tab w:val="right" w:pos="9000"/>
        </w:tabs>
        <w:rPr>
          <w:bCs/>
          <w:noProof w:val="0"/>
          <w:sz w:val="24"/>
        </w:rPr>
      </w:pPr>
      <w:r w:rsidRPr="00AC514E">
        <w:rPr>
          <w:bCs/>
          <w:noProof w:val="0"/>
          <w:sz w:val="24"/>
        </w:rPr>
        <w:t>Xi'an, China, 8th April -  12th April 2019</w:t>
      </w:r>
      <w:r w:rsidR="00B34E44">
        <w:rPr>
          <w:bCs/>
          <w:noProof w:val="0"/>
          <w:sz w:val="24"/>
        </w:rPr>
        <w:tab/>
      </w:r>
      <w:r w:rsidR="002463A0" w:rsidRPr="002463A0">
        <w:rPr>
          <w:bCs/>
          <w:noProof w:val="0"/>
          <w:sz w:val="24"/>
        </w:rPr>
        <w:t>Resubmission of</w:t>
      </w:r>
      <w:r w:rsidR="002463A0">
        <w:rPr>
          <w:bCs/>
          <w:noProof w:val="0"/>
          <w:sz w:val="24"/>
        </w:rPr>
        <w:t xml:space="preserve"> R2-1901567</w:t>
      </w:r>
    </w:p>
    <w:p w14:paraId="6EB87973" w14:textId="77777777" w:rsidR="00B4542E" w:rsidRPr="007600AF" w:rsidRDefault="00B4542E" w:rsidP="00116849">
      <w:pPr>
        <w:pStyle w:val="Header"/>
        <w:tabs>
          <w:tab w:val="right" w:pos="9000"/>
        </w:tabs>
        <w:rPr>
          <w:bCs/>
          <w:noProof w:val="0"/>
          <w:sz w:val="24"/>
          <w:lang w:val="en-GB" w:eastAsia="ja-JP"/>
        </w:rPr>
      </w:pPr>
      <w:r w:rsidRPr="007600AF">
        <w:rPr>
          <w:bCs/>
          <w:noProof w:val="0"/>
          <w:sz w:val="24"/>
          <w:lang w:val="en-GB"/>
        </w:rPr>
        <w:tab/>
      </w:r>
    </w:p>
    <w:p w14:paraId="6EB87974" w14:textId="6673AE70"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F71ADB">
        <w:rPr>
          <w:rFonts w:cs="Arial"/>
          <w:b/>
          <w:bCs/>
          <w:sz w:val="24"/>
        </w:rPr>
        <w:t>11.2.1.1</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595E1F32"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832557">
        <w:rPr>
          <w:rFonts w:ascii="Arial" w:hAnsi="Arial" w:cs="Arial"/>
          <w:b/>
          <w:bCs/>
          <w:sz w:val="24"/>
        </w:rPr>
        <w:t xml:space="preserve">Additional RACH Opportunities </w:t>
      </w:r>
      <w:r w:rsidR="00D41C04">
        <w:rPr>
          <w:rFonts w:ascii="Arial" w:hAnsi="Arial" w:cs="Arial"/>
          <w:b/>
          <w:bCs/>
          <w:sz w:val="24"/>
        </w:rPr>
        <w:t>for NR-U</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23DF9488" w14:textId="7CA57C9E" w:rsidR="00B4176A" w:rsidRDefault="00B4176A" w:rsidP="00B4176A">
      <w:pPr>
        <w:rPr>
          <w:lang w:val="en-US"/>
        </w:rPr>
      </w:pPr>
      <w:r>
        <w:rPr>
          <w:lang w:val="en-US"/>
        </w:rPr>
        <w:t xml:space="preserve">During the NR-U SI, various options to alleviate the impacts of LBT failures on the random access procedure were discussed.  The following text related to supporting additional transmission opportunities for the RACH messages was included in </w:t>
      </w:r>
      <w:r w:rsidRPr="003767CB">
        <w:rPr>
          <w:lang w:val="en-US"/>
        </w:rPr>
        <w:t>TR 38.889</w:t>
      </w:r>
      <w:r>
        <w:rPr>
          <w:lang w:val="en-US"/>
        </w:rPr>
        <w:t xml:space="preserve"> </w:t>
      </w:r>
      <w:r>
        <w:rPr>
          <w:lang w:val="en-US"/>
        </w:rPr>
        <w:fldChar w:fldCharType="begin"/>
      </w:r>
      <w:r>
        <w:rPr>
          <w:lang w:val="en-US"/>
        </w:rPr>
        <w:instrText xml:space="preserve"> REF _Ref525912907 \r \h </w:instrText>
      </w:r>
      <w:r>
        <w:rPr>
          <w:lang w:val="en-US"/>
        </w:rPr>
      </w:r>
      <w:r>
        <w:rPr>
          <w:lang w:val="en-US"/>
        </w:rPr>
        <w:fldChar w:fldCharType="separate"/>
      </w:r>
      <w:r>
        <w:rPr>
          <w:lang w:val="en-US"/>
        </w:rPr>
        <w:t>[1]</w:t>
      </w:r>
      <w:r>
        <w:rPr>
          <w:lang w:val="en-US"/>
        </w:rPr>
        <w:fldChar w:fldCharType="end"/>
      </w:r>
      <w:r>
        <w:rPr>
          <w:lang w:val="en-US"/>
        </w:rPr>
        <w:t>:</w:t>
      </w:r>
    </w:p>
    <w:p w14:paraId="5351F38E" w14:textId="77777777" w:rsidR="00B4176A" w:rsidRPr="003767CB" w:rsidRDefault="00B4176A" w:rsidP="00B4176A">
      <w:pPr>
        <w:ind w:left="720"/>
        <w:rPr>
          <w:i/>
          <w:lang w:val="en-US"/>
        </w:rPr>
      </w:pPr>
      <w:r>
        <w:rPr>
          <w:i/>
          <w:lang w:val="en-US"/>
        </w:rPr>
        <w:t>“</w:t>
      </w:r>
      <w:r w:rsidRPr="003767CB">
        <w:rPr>
          <w:i/>
          <w:lang w:val="en-US"/>
        </w:rPr>
        <w:t>However, in order to alleviate the impact of LBT failures further, additional opportunities for the RACH messages may be introduced, e.g. in time or frequency domain, for both 4-step and 2-step RACH.</w:t>
      </w:r>
      <w:r>
        <w:rPr>
          <w:i/>
          <w:lang w:val="en-US"/>
        </w:rPr>
        <w:t>”</w:t>
      </w:r>
    </w:p>
    <w:p w14:paraId="50A5D294" w14:textId="66826A5A" w:rsidR="001C0CC9" w:rsidRPr="001C0CC9" w:rsidRDefault="001C0CC9" w:rsidP="00FD1084">
      <w:pPr>
        <w:rPr>
          <w:lang w:val="en-US"/>
        </w:rPr>
      </w:pPr>
      <w:r w:rsidRPr="001C0CC9">
        <w:rPr>
          <w:lang w:val="en-US"/>
        </w:rPr>
        <w:t xml:space="preserve">Additional RA Msg1 opportunities was </w:t>
      </w:r>
      <w:r>
        <w:rPr>
          <w:lang w:val="en-US"/>
        </w:rPr>
        <w:t xml:space="preserve">also </w:t>
      </w:r>
      <w:r w:rsidRPr="001C0CC9">
        <w:rPr>
          <w:lang w:val="en-US"/>
        </w:rPr>
        <w:t>discussed in RAN2 email discussion</w:t>
      </w:r>
      <w:r>
        <w:rPr>
          <w:lang w:val="en-US"/>
        </w:rPr>
        <w:t xml:space="preserve"> </w:t>
      </w:r>
      <w:r w:rsidRPr="001C0CC9">
        <w:rPr>
          <w:lang w:val="en-US"/>
        </w:rPr>
        <w:t>[105#50][NR-U] RACH 4-step and SR. Three options were considered: additional opportunities across different LBT sub-bands within a BWP, additional opportunities across different UL BWPs and add</w:t>
      </w:r>
      <w:bookmarkStart w:id="0" w:name="_GoBack"/>
      <w:bookmarkEnd w:id="0"/>
      <w:r w:rsidRPr="001C0CC9">
        <w:rPr>
          <w:lang w:val="en-US"/>
        </w:rPr>
        <w:t>itional opportunities across serving cells/carriers.  Of the companies supporting a choice between these options the majority identified a preference for additional opportunities across different LBT sub-bands within a BWP.</w:t>
      </w:r>
    </w:p>
    <w:p w14:paraId="48378D87" w14:textId="048C4FF6" w:rsidR="00A33F22" w:rsidRDefault="00FB4EC9" w:rsidP="00FD1084">
      <w:r>
        <w:t>In this contribution</w:t>
      </w:r>
      <w:r w:rsidR="006E2B80">
        <w:t xml:space="preserve">, we </w:t>
      </w:r>
      <w:r w:rsidR="003009B7">
        <w:t>discuss</w:t>
      </w:r>
      <w:r w:rsidR="006E2B80">
        <w:t xml:space="preserve"> </w:t>
      </w:r>
      <w:r w:rsidR="00B03576">
        <w:t xml:space="preserve">our views </w:t>
      </w:r>
      <w:r w:rsidR="0012575F">
        <w:t xml:space="preserve">related to </w:t>
      </w:r>
      <w:r w:rsidR="00B4176A">
        <w:t>the introduction of additional opportunities for the RACH messages</w:t>
      </w:r>
      <w:r w:rsidR="0050243B">
        <w:t xml:space="preserve"> </w:t>
      </w:r>
      <w:r w:rsidR="0068115C">
        <w:t>and make so</w:t>
      </w:r>
      <w:r w:rsidR="00CD4896">
        <w:t>me observations and proposals.</w:t>
      </w:r>
    </w:p>
    <w:p w14:paraId="6EB8798B" w14:textId="0BEB2913" w:rsidR="00C46139" w:rsidRDefault="00652339" w:rsidP="0006459B">
      <w:pPr>
        <w:pStyle w:val="Heading1"/>
      </w:pPr>
      <w:r>
        <w:t>Discussion</w:t>
      </w:r>
    </w:p>
    <w:p w14:paraId="348C577C" w14:textId="548DED87" w:rsidR="00D57654" w:rsidRDefault="001C3594" w:rsidP="00C62A07">
      <w:pPr>
        <w:rPr>
          <w:lang w:val="en-US"/>
        </w:rPr>
      </w:pPr>
      <w:bookmarkStart w:id="1" w:name="_Hlk525905422"/>
      <w:r>
        <w:rPr>
          <w:lang w:val="en-US"/>
        </w:rPr>
        <w:t>For Msg1 transmission, a</w:t>
      </w:r>
      <w:r w:rsidR="00370255">
        <w:rPr>
          <w:lang w:val="en-US"/>
        </w:rPr>
        <w:t>dditional transmission opportunities</w:t>
      </w:r>
      <w:r w:rsidR="00D57654">
        <w:rPr>
          <w:lang w:val="en-US"/>
        </w:rPr>
        <w:t xml:space="preserve"> in the time domain are beneficial.  However, the </w:t>
      </w:r>
      <w:r w:rsidR="00C62A07" w:rsidRPr="00464D33">
        <w:rPr>
          <w:lang w:val="en-US"/>
        </w:rPr>
        <w:t xml:space="preserve">channel access </w:t>
      </w:r>
      <w:r w:rsidR="00C62A07">
        <w:rPr>
          <w:lang w:val="en-US"/>
        </w:rPr>
        <w:t>probabilities</w:t>
      </w:r>
      <w:r w:rsidR="00C62A07" w:rsidRPr="00464D33">
        <w:rPr>
          <w:lang w:val="en-US"/>
        </w:rPr>
        <w:t xml:space="preserve"> for </w:t>
      </w:r>
      <w:r w:rsidR="00C62A07">
        <w:rPr>
          <w:lang w:val="en-US"/>
        </w:rPr>
        <w:t xml:space="preserve">transmission opportunities </w:t>
      </w:r>
      <w:r w:rsidR="00C62A07" w:rsidRPr="00464D33">
        <w:rPr>
          <w:lang w:val="en-US"/>
        </w:rPr>
        <w:t>that are multiplexed in time may be highly correlated</w:t>
      </w:r>
      <w:r w:rsidR="00C62A07">
        <w:rPr>
          <w:lang w:val="en-US"/>
        </w:rPr>
        <w:t xml:space="preserve">—especially </w:t>
      </w:r>
      <w:r w:rsidR="00C62A07" w:rsidRPr="00464D33">
        <w:rPr>
          <w:lang w:val="en-US"/>
        </w:rPr>
        <w:t xml:space="preserve">if </w:t>
      </w:r>
      <w:r w:rsidR="00C62A07">
        <w:rPr>
          <w:lang w:val="en-US"/>
        </w:rPr>
        <w:t xml:space="preserve">they are grouped </w:t>
      </w:r>
      <w:r w:rsidR="00C62A07" w:rsidRPr="00464D33">
        <w:rPr>
          <w:lang w:val="en-US"/>
        </w:rPr>
        <w:t xml:space="preserve">close </w:t>
      </w:r>
      <w:r w:rsidR="00C62A07">
        <w:rPr>
          <w:lang w:val="en-US"/>
        </w:rPr>
        <w:t xml:space="preserve">together </w:t>
      </w:r>
      <w:r w:rsidR="00C62A07" w:rsidRPr="00464D33">
        <w:rPr>
          <w:lang w:val="en-US"/>
        </w:rPr>
        <w:t xml:space="preserve">in time.  </w:t>
      </w:r>
      <w:r w:rsidR="00D57654">
        <w:rPr>
          <w:lang w:val="en-US"/>
        </w:rPr>
        <w:t xml:space="preserve">Increasing the time between the transmission opportunities helps to </w:t>
      </w:r>
      <w:r w:rsidR="0031517A">
        <w:rPr>
          <w:lang w:val="en-US"/>
        </w:rPr>
        <w:t>reduce the correlation, but also increases latency.</w:t>
      </w:r>
    </w:p>
    <w:p w14:paraId="68F609E9" w14:textId="6D8D622B" w:rsidR="00C62A07" w:rsidRDefault="00C62A07" w:rsidP="00C62A07">
      <w:pPr>
        <w:rPr>
          <w:lang w:val="en-US"/>
        </w:rPr>
      </w:pPr>
      <w:r>
        <w:rPr>
          <w:b/>
          <w:i/>
        </w:rPr>
        <w:t xml:space="preserve">Observation </w:t>
      </w:r>
      <w:r w:rsidR="00FE3361">
        <w:rPr>
          <w:b/>
          <w:i/>
        </w:rPr>
        <w:t>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 together in time.</w:t>
      </w:r>
    </w:p>
    <w:p w14:paraId="27DB0B53" w14:textId="2D789EE6" w:rsidR="00FD1CBE" w:rsidRDefault="00FD1CBE" w:rsidP="00FD1CBE">
      <w:r w:rsidRPr="000B73BB">
        <w:t xml:space="preserve">For wideband carriers, the channel may be partitioned into </w:t>
      </w:r>
      <w:r>
        <w:t xml:space="preserve">20 MHz </w:t>
      </w:r>
      <w:r w:rsidRPr="000B73BB">
        <w:t>sub</w:t>
      </w:r>
      <w:r w:rsidR="00BF4D10">
        <w:t>-</w:t>
      </w:r>
      <w:r w:rsidRPr="000B73BB">
        <w:t>bands, where LBT is performed on each sub</w:t>
      </w:r>
      <w:r w:rsidR="00BF4D10">
        <w:t>-</w:t>
      </w:r>
      <w:r w:rsidRPr="000B73BB">
        <w:t>band independently</w:t>
      </w:r>
      <w:r w:rsidR="00481DDD">
        <w:t xml:space="preserve"> </w:t>
      </w:r>
      <w:r w:rsidR="00481DDD">
        <w:fldChar w:fldCharType="begin"/>
      </w:r>
      <w:r w:rsidR="00481DDD">
        <w:instrText xml:space="preserve"> REF _Ref525912907 \r \h </w:instrText>
      </w:r>
      <w:r w:rsidR="00481DDD">
        <w:fldChar w:fldCharType="separate"/>
      </w:r>
      <w:r w:rsidR="00481DDD">
        <w:t>[1]</w:t>
      </w:r>
      <w:r w:rsidR="00481DDD">
        <w:fldChar w:fldCharType="end"/>
      </w:r>
      <w:r>
        <w:t xml:space="preserve">.  </w:t>
      </w:r>
      <w:r w:rsidR="00BF7293">
        <w:t xml:space="preserve">Configuring additional RACH resources across multiple LBT sub-bands </w:t>
      </w:r>
      <w:r w:rsidR="00BF7293">
        <w:rPr>
          <w:lang w:val="en-US"/>
        </w:rPr>
        <w:t xml:space="preserve">can provide additional robustness without increasing latency.  </w:t>
      </w:r>
      <w:r w:rsidR="00B04500">
        <w:rPr>
          <w:lang w:val="en-US"/>
        </w:rPr>
        <w:t>Therefore,</w:t>
      </w:r>
      <w:r w:rsidR="00BF7293">
        <w:rPr>
          <w:lang w:val="en-US"/>
        </w:rPr>
        <w:t xml:space="preserve"> for NR-U, </w:t>
      </w:r>
      <w:r w:rsidR="00B04500">
        <w:rPr>
          <w:lang w:val="en-US"/>
        </w:rPr>
        <w:t>it should be possible to configure additional RACH resources across LBT sub-bands.</w:t>
      </w:r>
    </w:p>
    <w:p w14:paraId="15E44E66" w14:textId="548CEFC9" w:rsidR="00BF7293" w:rsidRDefault="00BF7293" w:rsidP="00BF7293">
      <w:r>
        <w:rPr>
          <w:b/>
          <w:i/>
        </w:rPr>
        <w:t xml:space="preserve">Observation </w:t>
      </w:r>
      <w:r w:rsidR="00FE3361">
        <w:rPr>
          <w:b/>
          <w:i/>
        </w:rPr>
        <w:t>2</w:t>
      </w:r>
      <w:r w:rsidRPr="00393C78">
        <w:rPr>
          <w:b/>
          <w:i/>
        </w:rPr>
        <w:t>:</w:t>
      </w:r>
      <w:r w:rsidRPr="00393C78">
        <w:rPr>
          <w:i/>
        </w:rPr>
        <w:t xml:space="preserve">  </w:t>
      </w:r>
      <w:r w:rsidR="00B04500" w:rsidRPr="00B04500">
        <w:rPr>
          <w:i/>
        </w:rPr>
        <w:t>Configuring additional RACH resources across multiple LBT sub-bands can provide additional robustness without increasing latency.</w:t>
      </w:r>
    </w:p>
    <w:p w14:paraId="587EE25A" w14:textId="63DE3F57" w:rsidR="00B04500" w:rsidRDefault="00B04500" w:rsidP="00B04500">
      <w:pPr>
        <w:rPr>
          <w:i/>
        </w:rPr>
      </w:pPr>
      <w:r>
        <w:rPr>
          <w:b/>
          <w:i/>
        </w:rPr>
        <w:t xml:space="preserve">Proposal </w:t>
      </w:r>
      <w:r w:rsidR="00FE3361">
        <w:rPr>
          <w:b/>
          <w:i/>
        </w:rPr>
        <w:t>1</w:t>
      </w:r>
      <w:r w:rsidRPr="00393C78">
        <w:rPr>
          <w:b/>
          <w:i/>
        </w:rPr>
        <w:t>:</w:t>
      </w:r>
      <w:r w:rsidRPr="00393C78">
        <w:rPr>
          <w:i/>
        </w:rPr>
        <w:t xml:space="preserve">  </w:t>
      </w:r>
      <w:r>
        <w:rPr>
          <w:i/>
        </w:rPr>
        <w:t>For</w:t>
      </w:r>
      <w:r w:rsidRPr="00B04500">
        <w:rPr>
          <w:i/>
        </w:rPr>
        <w:t xml:space="preserve"> NR-U, it should be possible to configure additional RACH resources across LBT sub-bands.</w:t>
      </w:r>
    </w:p>
    <w:p w14:paraId="56E45687" w14:textId="7095BA37" w:rsidR="001060DF" w:rsidRPr="001060DF" w:rsidRDefault="00944F5B" w:rsidP="00B04500">
      <w:r>
        <w:t xml:space="preserve">In </w:t>
      </w:r>
      <w:r w:rsidR="007D0635" w:rsidRPr="007D0635">
        <w:rPr>
          <w:lang w:val="en-US"/>
        </w:rPr>
        <w:t>R1-1901040</w:t>
      </w:r>
      <w:r w:rsidR="007D0635">
        <w:rPr>
          <w:lang w:val="en-US"/>
        </w:rPr>
        <w:t xml:space="preserve"> </w:t>
      </w:r>
      <w:r w:rsidR="00B202C1">
        <w:rPr>
          <w:lang w:val="en-US"/>
        </w:rPr>
        <w:fldChar w:fldCharType="begin"/>
      </w:r>
      <w:r w:rsidR="00B202C1">
        <w:rPr>
          <w:lang w:val="en-US"/>
        </w:rPr>
        <w:instrText xml:space="preserve"> REF _Ref872424 \r \h </w:instrText>
      </w:r>
      <w:r w:rsidR="00B202C1">
        <w:rPr>
          <w:lang w:val="en-US"/>
        </w:rPr>
      </w:r>
      <w:r w:rsidR="00B202C1">
        <w:rPr>
          <w:lang w:val="en-US"/>
        </w:rPr>
        <w:fldChar w:fldCharType="separate"/>
      </w:r>
      <w:r w:rsidR="00B202C1">
        <w:rPr>
          <w:lang w:val="en-US"/>
        </w:rPr>
        <w:t>[2]</w:t>
      </w:r>
      <w:r w:rsidR="00B202C1">
        <w:rPr>
          <w:lang w:val="en-US"/>
        </w:rPr>
        <w:fldChar w:fldCharType="end"/>
      </w:r>
      <w:r>
        <w:t xml:space="preserve">, an observation was made that </w:t>
      </w:r>
      <w:r w:rsidR="007C4DEA">
        <w:t>frequency domain enhancements would not have much benefit for initial access.  This is because for initial access, Msg1 is transmitted on the initial active UL BWP, which is likely to be ≤ 20 MHz.</w:t>
      </w:r>
      <w:r w:rsidR="001060DF">
        <w:t xml:space="preserve">  Therefore, when discussing </w:t>
      </w:r>
      <w:r w:rsidR="001060DF" w:rsidRPr="001060DF">
        <w:t xml:space="preserve">the configuration of additional RACH resources across LBT sub-bands, RAN2 should </w:t>
      </w:r>
      <w:r w:rsidR="001060DF">
        <w:t xml:space="preserve">also discuss whether this will be applicable for </w:t>
      </w:r>
      <w:r w:rsidR="001060DF" w:rsidRPr="001060DF">
        <w:t>UEs in RRC_IDLE/RRC_INACTIVE or only for UEs in RRC_CONNECTED</w:t>
      </w:r>
      <w:r w:rsidR="001060DF">
        <w:t>.</w:t>
      </w:r>
    </w:p>
    <w:p w14:paraId="347FBC1D" w14:textId="514C20DE" w:rsidR="007D0635" w:rsidRDefault="00B202C1" w:rsidP="00B04500">
      <w:r>
        <w:rPr>
          <w:b/>
          <w:i/>
        </w:rPr>
        <w:t>Proposal 2</w:t>
      </w:r>
      <w:r w:rsidRPr="00393C78">
        <w:rPr>
          <w:b/>
          <w:i/>
        </w:rPr>
        <w:t>:</w:t>
      </w:r>
      <w:r w:rsidRPr="00393C78">
        <w:rPr>
          <w:i/>
        </w:rPr>
        <w:t xml:space="preserve">  </w:t>
      </w:r>
      <w:r w:rsidR="001060DF">
        <w:rPr>
          <w:i/>
        </w:rPr>
        <w:t>When</w:t>
      </w:r>
      <w:r w:rsidR="001060DF" w:rsidRPr="001060DF">
        <w:rPr>
          <w:i/>
        </w:rPr>
        <w:t xml:space="preserve"> discussing the configuration of additional RACH resources across LBT sub-bands, RAN2 should also discuss whether this will be applicable for UEs in RRC_IDLE/RRC_INACTIVE or only for UEs in RRC_CONNECTED.</w:t>
      </w:r>
    </w:p>
    <w:bookmarkEnd w:id="1"/>
    <w:p w14:paraId="6EB879B2" w14:textId="35B203E3" w:rsidR="00793C19" w:rsidRDefault="00793C19" w:rsidP="00793C19">
      <w:pPr>
        <w:pStyle w:val="Heading1"/>
      </w:pPr>
      <w:r>
        <w:lastRenderedPageBreak/>
        <w:t>Conclusion</w:t>
      </w:r>
    </w:p>
    <w:p w14:paraId="67D41CAE" w14:textId="4C63AD37" w:rsidR="00F07DC7" w:rsidRDefault="00FE3361" w:rsidP="006007E1">
      <w:r>
        <w:t>In this contribution, we discuss our views related to the introduction of additional opportunities for the RACH messages</w:t>
      </w:r>
      <w:r w:rsidR="0050243B">
        <w:t xml:space="preserve"> </w:t>
      </w:r>
      <w:r w:rsidR="00D85989" w:rsidRPr="00D85989">
        <w:t xml:space="preserve">and make </w:t>
      </w:r>
      <w:r w:rsidR="00D85989">
        <w:t>the following</w:t>
      </w:r>
      <w:r w:rsidR="00D85989" w:rsidRPr="00D85989">
        <w:t xml:space="preserve"> observations and proposals</w:t>
      </w:r>
      <w:r w:rsidR="00937585">
        <w:t>:</w:t>
      </w:r>
    </w:p>
    <w:p w14:paraId="106A52EB" w14:textId="77777777" w:rsidR="00BF4D10" w:rsidRDefault="00BF4D10" w:rsidP="00BF4D10">
      <w:pPr>
        <w:rPr>
          <w:lang w:val="en-US"/>
        </w:rPr>
      </w:pPr>
      <w:r>
        <w:rPr>
          <w:b/>
          <w:i/>
        </w:rPr>
        <w:t>Observation 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 together in time.</w:t>
      </w:r>
    </w:p>
    <w:p w14:paraId="5A04E760" w14:textId="77777777" w:rsidR="00FE3361" w:rsidRDefault="00FE3361" w:rsidP="00FE3361">
      <w:r>
        <w:rPr>
          <w:b/>
          <w:i/>
        </w:rPr>
        <w:t>Observation 2</w:t>
      </w:r>
      <w:r w:rsidRPr="00393C78">
        <w:rPr>
          <w:b/>
          <w:i/>
        </w:rPr>
        <w:t>:</w:t>
      </w:r>
      <w:r w:rsidRPr="00393C78">
        <w:rPr>
          <w:i/>
        </w:rPr>
        <w:t xml:space="preserve">  </w:t>
      </w:r>
      <w:r w:rsidRPr="00B04500">
        <w:rPr>
          <w:i/>
        </w:rPr>
        <w:t>Configuring additional RACH resources across multiple LBT sub-bands can provide additional robustness without increasing latency.</w:t>
      </w:r>
    </w:p>
    <w:p w14:paraId="092D28D7" w14:textId="54FA5644" w:rsidR="00FE3361" w:rsidRDefault="00FE3361" w:rsidP="00FE3361">
      <w:pPr>
        <w:rPr>
          <w:i/>
        </w:rPr>
      </w:pPr>
      <w:r>
        <w:rPr>
          <w:b/>
          <w:i/>
        </w:rPr>
        <w:t>Proposal 1</w:t>
      </w:r>
      <w:r w:rsidRPr="00393C78">
        <w:rPr>
          <w:b/>
          <w:i/>
        </w:rPr>
        <w:t>:</w:t>
      </w:r>
      <w:r w:rsidRPr="00393C78">
        <w:rPr>
          <w:i/>
        </w:rPr>
        <w:t xml:space="preserve">  </w:t>
      </w:r>
      <w:r>
        <w:rPr>
          <w:i/>
        </w:rPr>
        <w:t>For</w:t>
      </w:r>
      <w:r w:rsidRPr="00B04500">
        <w:rPr>
          <w:i/>
        </w:rPr>
        <w:t xml:space="preserve"> NR-U, it should be possible to configure additional RACH resources across LBT sub-bands.</w:t>
      </w:r>
    </w:p>
    <w:p w14:paraId="76C25017" w14:textId="77777777" w:rsidR="00144FE5" w:rsidRDefault="00144FE5" w:rsidP="00144FE5">
      <w:r>
        <w:rPr>
          <w:b/>
          <w:i/>
        </w:rPr>
        <w:t>Proposal 2</w:t>
      </w:r>
      <w:r w:rsidRPr="00393C78">
        <w:rPr>
          <w:b/>
          <w:i/>
        </w:rPr>
        <w:t>:</w:t>
      </w:r>
      <w:r w:rsidRPr="00393C78">
        <w:rPr>
          <w:i/>
        </w:rPr>
        <w:t xml:space="preserve">  </w:t>
      </w:r>
      <w:r>
        <w:rPr>
          <w:i/>
        </w:rPr>
        <w:t>When</w:t>
      </w:r>
      <w:r w:rsidRPr="001060DF">
        <w:rPr>
          <w:i/>
        </w:rPr>
        <w:t xml:space="preserve"> discussing the configuration of additional RACH resources across LBT sub-bands, RAN2 should also discuss whether this will be applicable for UEs in RRC_IDLE/RRC_INACTIVE or only for UEs in RRC_CONNECTED.</w:t>
      </w:r>
    </w:p>
    <w:p w14:paraId="6EB879C9" w14:textId="77777777" w:rsidR="00F17733" w:rsidRDefault="00F17733" w:rsidP="00F17733">
      <w:pPr>
        <w:pStyle w:val="Heading1"/>
      </w:pPr>
      <w:r>
        <w:t>References</w:t>
      </w:r>
    </w:p>
    <w:p w14:paraId="38EBFFD2" w14:textId="57EF6A0D" w:rsidR="001B745A" w:rsidRDefault="00B4176A" w:rsidP="007233F5">
      <w:pPr>
        <w:pStyle w:val="Reference"/>
        <w:numPr>
          <w:ilvl w:val="0"/>
          <w:numId w:val="13"/>
        </w:numPr>
        <w:spacing w:after="0"/>
        <w:rPr>
          <w:sz w:val="20"/>
          <w:lang w:val="en-US"/>
        </w:rPr>
      </w:pPr>
      <w:bookmarkStart w:id="2" w:name="_Ref525912907"/>
      <w:bookmarkStart w:id="3" w:name="_Ref485300629"/>
      <w:bookmarkStart w:id="4" w:name="_Ref481703437"/>
      <w:bookmarkStart w:id="5" w:name="_Ref485382530"/>
      <w:r w:rsidRPr="00970007">
        <w:rPr>
          <w:sz w:val="20"/>
          <w:lang w:val="en-US"/>
        </w:rPr>
        <w:t>3GPP TR 38.889, Study on NR-based access to unlicensed spectrum</w:t>
      </w:r>
      <w:r>
        <w:rPr>
          <w:sz w:val="20"/>
          <w:lang w:val="en-US"/>
        </w:rPr>
        <w:t>,</w:t>
      </w:r>
      <w:r w:rsidRPr="00970007">
        <w:rPr>
          <w:sz w:val="20"/>
          <w:lang w:val="en-US"/>
        </w:rPr>
        <w:t xml:space="preserve"> V16.0.0</w:t>
      </w:r>
      <w:bookmarkEnd w:id="2"/>
    </w:p>
    <w:p w14:paraId="742D52CA" w14:textId="3140BCFF" w:rsidR="007F3724" w:rsidRPr="00970007" w:rsidRDefault="007D0635" w:rsidP="00DE4ECB">
      <w:pPr>
        <w:pStyle w:val="Reference"/>
        <w:numPr>
          <w:ilvl w:val="0"/>
          <w:numId w:val="13"/>
        </w:numPr>
        <w:spacing w:after="0"/>
        <w:rPr>
          <w:sz w:val="20"/>
          <w:lang w:val="en-US"/>
        </w:rPr>
      </w:pPr>
      <w:bookmarkStart w:id="6" w:name="_Ref872424"/>
      <w:bookmarkEnd w:id="3"/>
      <w:bookmarkEnd w:id="4"/>
      <w:bookmarkEnd w:id="5"/>
      <w:r w:rsidRPr="007D0635">
        <w:rPr>
          <w:sz w:val="20"/>
          <w:lang w:val="en-US"/>
        </w:rPr>
        <w:t>R1-1901040</w:t>
      </w:r>
      <w:r>
        <w:rPr>
          <w:sz w:val="20"/>
          <w:lang w:val="en-US"/>
        </w:rPr>
        <w:t xml:space="preserve"> </w:t>
      </w:r>
      <w:r w:rsidRPr="007D0635">
        <w:rPr>
          <w:sz w:val="20"/>
          <w:lang w:val="en-US"/>
        </w:rPr>
        <w:t>Discussion on time/freq-domain enhancements for RACH resources</w:t>
      </w:r>
      <w:r>
        <w:rPr>
          <w:sz w:val="20"/>
          <w:lang w:val="en-US"/>
        </w:rPr>
        <w:t xml:space="preserve">, </w:t>
      </w:r>
      <w:r w:rsidRPr="007D0635">
        <w:rPr>
          <w:sz w:val="20"/>
          <w:lang w:val="en-US"/>
        </w:rPr>
        <w:t>Samsung</w:t>
      </w:r>
      <w:bookmarkEnd w:id="6"/>
    </w:p>
    <w:sectPr w:rsidR="007F3724" w:rsidRPr="0097000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CBE1" w14:textId="77777777" w:rsidR="00EF6006" w:rsidRPr="008C651D" w:rsidRDefault="00EF6006" w:rsidP="00C24254">
      <w:pPr>
        <w:spacing w:after="0"/>
        <w:rPr>
          <w:rFonts w:ascii="Arial" w:eastAsia="SimSun" w:hAnsi="Arial" w:cs="Arial"/>
          <w:color w:val="0000FF"/>
          <w:kern w:val="2"/>
          <w:lang w:val="en-US" w:eastAsia="zh-CN"/>
        </w:rPr>
      </w:pPr>
      <w:r>
        <w:separator/>
      </w:r>
    </w:p>
  </w:endnote>
  <w:endnote w:type="continuationSeparator" w:id="0">
    <w:p w14:paraId="20F9A2B1" w14:textId="77777777" w:rsidR="00EF6006" w:rsidRPr="008C651D" w:rsidRDefault="00EF600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37483" w14:textId="77777777" w:rsidR="00EF6006" w:rsidRPr="008C651D" w:rsidRDefault="00EF6006" w:rsidP="00C24254">
      <w:pPr>
        <w:spacing w:after="0"/>
        <w:rPr>
          <w:rFonts w:ascii="Arial" w:eastAsia="SimSun" w:hAnsi="Arial" w:cs="Arial"/>
          <w:color w:val="0000FF"/>
          <w:kern w:val="2"/>
          <w:lang w:val="en-US" w:eastAsia="zh-CN"/>
        </w:rPr>
      </w:pPr>
      <w:r>
        <w:separator/>
      </w:r>
    </w:p>
  </w:footnote>
  <w:footnote w:type="continuationSeparator" w:id="0">
    <w:p w14:paraId="53E18BDD" w14:textId="77777777" w:rsidR="00EF6006" w:rsidRPr="008C651D" w:rsidRDefault="00EF600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56CF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0A6A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0D835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4AF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35219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CF5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08F01B9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DF643A"/>
    <w:multiLevelType w:val="hybridMultilevel"/>
    <w:tmpl w:val="824AF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B8302FE"/>
    <w:multiLevelType w:val="hybridMultilevel"/>
    <w:tmpl w:val="147AF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97BAD"/>
    <w:multiLevelType w:val="multilevel"/>
    <w:tmpl w:val="051EC17A"/>
    <w:lvl w:ilvl="0">
      <w:start w:val="1"/>
      <w:numFmt w:val="decimal"/>
      <w:suff w:val="space"/>
      <w:lvlText w:val="%1"/>
      <w:lvlJc w:val="left"/>
      <w:pPr>
        <w:ind w:left="216" w:hanging="216"/>
      </w:pPr>
    </w:lvl>
    <w:lvl w:ilvl="1">
      <w:start w:val="1"/>
      <w:numFmt w:val="decimal"/>
      <w:suff w:val="space"/>
      <w:lvlText w:val="%1.%2"/>
      <w:lvlJc w:val="left"/>
      <w:pPr>
        <w:ind w:left="219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25"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16115"/>
    <w:multiLevelType w:val="hybridMultilevel"/>
    <w:tmpl w:val="7C08B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7"/>
  </w:num>
  <w:num w:numId="3">
    <w:abstractNumId w:val="22"/>
  </w:num>
  <w:num w:numId="4">
    <w:abstractNumId w:val="37"/>
  </w:num>
  <w:num w:numId="5">
    <w:abstractNumId w:val="32"/>
  </w:num>
  <w:num w:numId="6">
    <w:abstractNumId w:val="16"/>
  </w:num>
  <w:num w:numId="7">
    <w:abstractNumId w:val="14"/>
  </w:num>
  <w:num w:numId="8">
    <w:abstractNumId w:val="17"/>
  </w:num>
  <w:num w:numId="9">
    <w:abstractNumId w:val="28"/>
  </w:num>
  <w:num w:numId="10">
    <w:abstractNumId w:val="31"/>
  </w:num>
  <w:num w:numId="11">
    <w:abstractNumId w:val="1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5"/>
  </w:num>
  <w:num w:numId="15">
    <w:abstractNumId w:val="36"/>
  </w:num>
  <w:num w:numId="16">
    <w:abstractNumId w:val="27"/>
  </w:num>
  <w:num w:numId="17">
    <w:abstractNumId w:val="38"/>
  </w:num>
  <w:num w:numId="18">
    <w:abstractNumId w:val="33"/>
  </w:num>
  <w:num w:numId="19">
    <w:abstractNumId w:val="45"/>
  </w:num>
  <w:num w:numId="20">
    <w:abstractNumId w:val="34"/>
  </w:num>
  <w:num w:numId="21">
    <w:abstractNumId w:val="41"/>
  </w:num>
  <w:num w:numId="22">
    <w:abstractNumId w:val="44"/>
  </w:num>
  <w:num w:numId="23">
    <w:abstractNumId w:val="48"/>
  </w:num>
  <w:num w:numId="24">
    <w:abstractNumId w:val="8"/>
  </w:num>
  <w:num w:numId="25">
    <w:abstractNumId w:val="21"/>
  </w:num>
  <w:num w:numId="26">
    <w:abstractNumId w:val="39"/>
  </w:num>
  <w:num w:numId="27">
    <w:abstractNumId w:val="40"/>
  </w:num>
  <w:num w:numId="28">
    <w:abstractNumId w:val="9"/>
  </w:num>
  <w:num w:numId="29">
    <w:abstractNumId w:val="15"/>
  </w:num>
  <w:num w:numId="30">
    <w:abstractNumId w:val="43"/>
  </w:num>
  <w:num w:numId="31">
    <w:abstractNumId w:val="26"/>
  </w:num>
  <w:num w:numId="32">
    <w:abstractNumId w:val="10"/>
  </w:num>
  <w:num w:numId="33">
    <w:abstractNumId w:val="23"/>
  </w:num>
  <w:num w:numId="34">
    <w:abstractNumId w:val="18"/>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5"/>
  </w:num>
  <w:num w:numId="43">
    <w:abstractNumId w:val="11"/>
  </w:num>
  <w:num w:numId="44">
    <w:abstractNumId w:val="29"/>
  </w:num>
  <w:num w:numId="45">
    <w:abstractNumId w:val="24"/>
  </w:num>
  <w:num w:numId="46">
    <w:abstractNumId w:val="46"/>
  </w:num>
  <w:num w:numId="47">
    <w:abstractNumId w:val="20"/>
  </w:num>
  <w:num w:numId="48">
    <w:abstractNumId w:val="42"/>
  </w:num>
  <w:num w:numId="4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7975"/>
    <w:rsid w:val="00237FD6"/>
    <w:rsid w:val="0024036E"/>
    <w:rsid w:val="002404D5"/>
    <w:rsid w:val="002407A5"/>
    <w:rsid w:val="00240B64"/>
    <w:rsid w:val="00240C01"/>
    <w:rsid w:val="002413BF"/>
    <w:rsid w:val="00241484"/>
    <w:rsid w:val="002424A0"/>
    <w:rsid w:val="00242F3F"/>
    <w:rsid w:val="00245BE5"/>
    <w:rsid w:val="002461AB"/>
    <w:rsid w:val="002463A0"/>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9F1"/>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A79"/>
    <w:rsid w:val="00455C4B"/>
    <w:rsid w:val="00455E59"/>
    <w:rsid w:val="00455F58"/>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8F7"/>
    <w:rsid w:val="00C0595A"/>
    <w:rsid w:val="00C05EDF"/>
    <w:rsid w:val="00C0667A"/>
    <w:rsid w:val="00C06C7B"/>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8"/>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5E8B9-D9C6-46AA-B2F6-B653CAC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86B746-8D14-4FB1-8E0E-35B6ADC81D6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C5BFCB3F-B197-45EE-9B84-9F72E0158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Joseph Murray</cp:lastModifiedBy>
  <cp:revision>3</cp:revision>
  <cp:lastPrinted>2017-09-28T18:43:00Z</cp:lastPrinted>
  <dcterms:created xsi:type="dcterms:W3CDTF">2019-03-28T21:12:00Z</dcterms:created>
  <dcterms:modified xsi:type="dcterms:W3CDTF">2019-03-28T21:13:00Z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0x010100EF637E37756BC543ABFEEBD524340F89</vt:lpwstr>
  </property>
</Properties>
</file>